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32B8" w14:textId="4C12C7E5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Bold" w:hAnsi="TimesTenLTStd-Bold" w:cs="TimesTenLTStd-Bold"/>
          <w:b/>
          <w:bCs/>
          <w:sz w:val="56"/>
          <w:szCs w:val="56"/>
        </w:rPr>
      </w:pPr>
      <w:r>
        <w:rPr>
          <w:rFonts w:ascii="TimesTenLTStd-Bold" w:hAnsi="TimesTenLTStd-Bold" w:cs="TimesTenLTStd-Bold"/>
          <w:b/>
          <w:bCs/>
          <w:sz w:val="56"/>
          <w:szCs w:val="56"/>
        </w:rPr>
        <w:t>International Labo</w:t>
      </w:r>
      <w:bookmarkStart w:id="0" w:name="_GoBack"/>
      <w:bookmarkEnd w:id="0"/>
      <w:r>
        <w:rPr>
          <w:rFonts w:ascii="TimesTenLTStd-Bold" w:hAnsi="TimesTenLTStd-Bold" w:cs="TimesTenLTStd-Bold"/>
          <w:b/>
          <w:bCs/>
          <w:sz w:val="56"/>
          <w:szCs w:val="56"/>
        </w:rPr>
        <w:t>r Conference</w:t>
      </w:r>
    </w:p>
    <w:p w14:paraId="05E3C219" w14:textId="77777777" w:rsidR="00A978BF" w:rsidRDefault="00A978BF" w:rsidP="00E45B56">
      <w:pPr>
        <w:autoSpaceDE w:val="0"/>
        <w:autoSpaceDN w:val="0"/>
        <w:adjustRightInd w:val="0"/>
        <w:spacing w:after="0" w:line="240" w:lineRule="auto"/>
        <w:jc w:val="center"/>
        <w:rPr>
          <w:rFonts w:ascii="TimesTenLTStd-Bold" w:hAnsi="TimesTenLTStd-Bold" w:cs="TimesTenLTStd-Bold"/>
          <w:b/>
          <w:bCs/>
          <w:sz w:val="27"/>
          <w:szCs w:val="27"/>
        </w:rPr>
      </w:pPr>
      <w:r>
        <w:rPr>
          <w:rFonts w:ascii="TimesTenLTStd-Bold" w:hAnsi="TimesTenLTStd-Bold" w:cs="TimesTenLTStd-Bold"/>
          <w:b/>
          <w:bCs/>
          <w:sz w:val="27"/>
          <w:szCs w:val="27"/>
        </w:rPr>
        <w:t>RECOMMENDATION 206</w:t>
      </w:r>
    </w:p>
    <w:p w14:paraId="0D99E478" w14:textId="77777777" w:rsidR="00A978BF" w:rsidRDefault="00A978BF" w:rsidP="00E45B56">
      <w:pPr>
        <w:autoSpaceDE w:val="0"/>
        <w:autoSpaceDN w:val="0"/>
        <w:adjustRightInd w:val="0"/>
        <w:spacing w:after="0" w:line="240" w:lineRule="auto"/>
        <w:jc w:val="center"/>
        <w:rPr>
          <w:rFonts w:ascii="TimesTenLTStd-Roman" w:hAnsi="TimesTenLTStd-Roman" w:cs="TimesTenLTStd-Roman"/>
          <w:sz w:val="26"/>
          <w:szCs w:val="26"/>
        </w:rPr>
      </w:pPr>
      <w:r>
        <w:rPr>
          <w:rFonts w:ascii="TimesTenLTStd-Roman" w:hAnsi="TimesTenLTStd-Roman" w:cs="TimesTenLTStd-Roman"/>
          <w:sz w:val="26"/>
          <w:szCs w:val="26"/>
        </w:rPr>
        <w:t>RECOMMENDATION</w:t>
      </w:r>
    </w:p>
    <w:p w14:paraId="0BA2BF80" w14:textId="2C2D4DE1" w:rsidR="00A978BF" w:rsidRDefault="00A978BF" w:rsidP="00E45B56">
      <w:pPr>
        <w:autoSpaceDE w:val="0"/>
        <w:autoSpaceDN w:val="0"/>
        <w:adjustRightInd w:val="0"/>
        <w:spacing w:after="0" w:line="240" w:lineRule="auto"/>
        <w:jc w:val="center"/>
        <w:rPr>
          <w:rFonts w:ascii="TimesTenLTStd-Roman" w:hAnsi="TimesTenLTStd-Roman" w:cs="TimesTenLTStd-Roman"/>
          <w:sz w:val="26"/>
          <w:szCs w:val="26"/>
        </w:rPr>
      </w:pPr>
      <w:r>
        <w:rPr>
          <w:rFonts w:ascii="TimesTenLTStd-Roman" w:hAnsi="TimesTenLTStd-Roman" w:cs="TimesTenLTStd-Roman"/>
          <w:sz w:val="26"/>
          <w:szCs w:val="26"/>
        </w:rPr>
        <w:t>CONCERNING THE ELIMINATION OF VIOLENCE</w:t>
      </w:r>
      <w:r>
        <w:rPr>
          <w:rFonts w:ascii="TimesTenLTStd-Roman" w:hAnsi="TimesTenLTStd-Roman" w:cs="TimesTenLTStd-Roman"/>
          <w:sz w:val="26"/>
          <w:szCs w:val="26"/>
        </w:rPr>
        <w:t xml:space="preserve"> </w:t>
      </w:r>
      <w:r>
        <w:rPr>
          <w:rFonts w:ascii="TimesTenLTStd-Roman" w:hAnsi="TimesTenLTStd-Roman" w:cs="TimesTenLTStd-Roman"/>
          <w:sz w:val="26"/>
          <w:szCs w:val="26"/>
        </w:rPr>
        <w:t>AND HARASSMENT IN THE WORLD OF WORK,</w:t>
      </w:r>
      <w:r>
        <w:rPr>
          <w:rFonts w:ascii="TimesTenLTStd-Roman" w:hAnsi="TimesTenLTStd-Roman" w:cs="TimesTenLTStd-Roman"/>
          <w:sz w:val="26"/>
          <w:szCs w:val="26"/>
        </w:rPr>
        <w:t xml:space="preserve"> </w:t>
      </w:r>
      <w:r>
        <w:rPr>
          <w:rFonts w:ascii="TimesTenLTStd-Roman" w:hAnsi="TimesTenLTStd-Roman" w:cs="TimesTenLTStd-Roman"/>
          <w:sz w:val="26"/>
          <w:szCs w:val="26"/>
        </w:rPr>
        <w:t>ADOPTED BY THE CONFERENCE</w:t>
      </w:r>
      <w:r>
        <w:rPr>
          <w:rFonts w:ascii="TimesTenLTStd-Roman" w:hAnsi="TimesTenLTStd-Roman" w:cs="TimesTenLTStd-Roman"/>
          <w:sz w:val="26"/>
          <w:szCs w:val="26"/>
        </w:rPr>
        <w:t xml:space="preserve"> </w:t>
      </w:r>
      <w:r>
        <w:rPr>
          <w:rFonts w:ascii="TimesTenLTStd-Roman" w:hAnsi="TimesTenLTStd-Roman" w:cs="TimesTenLTStd-Roman"/>
          <w:sz w:val="26"/>
          <w:szCs w:val="26"/>
        </w:rPr>
        <w:t>AT ITS ONE HUNDRED AND EIGHTH SESSION,</w:t>
      </w:r>
      <w:r>
        <w:rPr>
          <w:rFonts w:ascii="TimesTenLTStd-Roman" w:hAnsi="TimesTenLTStd-Roman" w:cs="TimesTenLTStd-Roman"/>
          <w:sz w:val="26"/>
          <w:szCs w:val="26"/>
        </w:rPr>
        <w:t xml:space="preserve"> </w:t>
      </w:r>
      <w:r>
        <w:rPr>
          <w:rFonts w:ascii="TimesTenLTStd-Roman" w:hAnsi="TimesTenLTStd-Roman" w:cs="TimesTenLTStd-Roman"/>
          <w:sz w:val="26"/>
          <w:szCs w:val="26"/>
        </w:rPr>
        <w:t>GENEVA, 21 JUNE 2019</w:t>
      </w:r>
    </w:p>
    <w:p w14:paraId="31D4886D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Bold" w:hAnsi="TimesTenLTStd-Bold" w:cs="TimesTenLTStd-Bold"/>
          <w:b/>
          <w:bCs/>
        </w:rPr>
      </w:pPr>
    </w:p>
    <w:p w14:paraId="24B4EA3D" w14:textId="19FA4923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Bold" w:hAnsi="TimesTenLTStd-Bold" w:cs="TimesTenLTStd-Bold"/>
          <w:b/>
          <w:bCs/>
        </w:rPr>
      </w:pPr>
      <w:r>
        <w:rPr>
          <w:rFonts w:ascii="TimesTenLTStd-Bold" w:hAnsi="TimesTenLTStd-Bold" w:cs="TimesTenLTStd-Bold"/>
          <w:b/>
          <w:bCs/>
        </w:rPr>
        <w:t>Recommendation 206</w:t>
      </w:r>
    </w:p>
    <w:p w14:paraId="4960E689" w14:textId="339C7DF5" w:rsidR="00A978BF" w:rsidRDefault="00A978BF" w:rsidP="00E45B56">
      <w:pPr>
        <w:autoSpaceDE w:val="0"/>
        <w:autoSpaceDN w:val="0"/>
        <w:adjustRightInd w:val="0"/>
        <w:spacing w:after="0" w:line="240" w:lineRule="auto"/>
        <w:jc w:val="center"/>
        <w:rPr>
          <w:rFonts w:ascii="TimesTenLTStd-Bold" w:hAnsi="TimesTenLTStd-Bold" w:cs="TimesTenLTStd-Bold"/>
          <w:b/>
          <w:bCs/>
          <w:sz w:val="24"/>
          <w:szCs w:val="24"/>
        </w:rPr>
      </w:pPr>
      <w:r>
        <w:rPr>
          <w:rFonts w:ascii="TimesTenLTStd-Bold" w:hAnsi="TimesTenLTStd-Bold" w:cs="TimesTenLTStd-Bold"/>
          <w:b/>
          <w:bCs/>
          <w:sz w:val="24"/>
          <w:szCs w:val="24"/>
        </w:rPr>
        <w:t>RECOMMENDATION</w:t>
      </w:r>
      <w:r>
        <w:rPr>
          <w:rFonts w:ascii="TimesTenLTStd-Bold" w:hAnsi="TimesTenLTStd-Bold" w:cs="TimesTenLTStd-Bold"/>
          <w:b/>
          <w:bCs/>
          <w:sz w:val="24"/>
          <w:szCs w:val="24"/>
        </w:rPr>
        <w:t xml:space="preserve"> </w:t>
      </w:r>
      <w:r>
        <w:rPr>
          <w:rFonts w:ascii="TimesTenLTStd-Bold" w:hAnsi="TimesTenLTStd-Bold" w:cs="TimesTenLTStd-Bold"/>
          <w:b/>
          <w:bCs/>
          <w:sz w:val="24"/>
          <w:szCs w:val="24"/>
        </w:rPr>
        <w:t>CONCERNING THE ELIMINATION OF VIOLENCE</w:t>
      </w:r>
      <w:r>
        <w:rPr>
          <w:rFonts w:ascii="TimesTenLTStd-Bold" w:hAnsi="TimesTenLTStd-Bold" w:cs="TimesTenLTStd-Bold"/>
          <w:b/>
          <w:bCs/>
          <w:sz w:val="24"/>
          <w:szCs w:val="24"/>
        </w:rPr>
        <w:t xml:space="preserve"> </w:t>
      </w:r>
      <w:r>
        <w:rPr>
          <w:rFonts w:ascii="TimesTenLTStd-Bold" w:hAnsi="TimesTenLTStd-Bold" w:cs="TimesTenLTStd-Bold"/>
          <w:b/>
          <w:bCs/>
          <w:sz w:val="24"/>
          <w:szCs w:val="24"/>
        </w:rPr>
        <w:t>AND HARASSMENT IN THE WORLD OF WORK</w:t>
      </w:r>
    </w:p>
    <w:p w14:paraId="2578F84D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 xml:space="preserve">The General Conference of the International </w:t>
      </w:r>
      <w:proofErr w:type="spellStart"/>
      <w:r>
        <w:rPr>
          <w:rFonts w:ascii="TimesTenLTStd-Roman" w:hAnsi="TimesTenLTStd-Roman" w:cs="TimesTenLTStd-Roman"/>
        </w:rPr>
        <w:t>Labour</w:t>
      </w:r>
      <w:proofErr w:type="spellEnd"/>
      <w:r>
        <w:rPr>
          <w:rFonts w:ascii="TimesTenLTStd-Roman" w:hAnsi="TimesTenLTStd-Roman" w:cs="TimesTenLTStd-Roman"/>
        </w:rPr>
        <w:t xml:space="preserve"> Organization,</w:t>
      </w:r>
    </w:p>
    <w:p w14:paraId="58E4212B" w14:textId="1A693EDD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Having been convened at Geneva by the Governing Body of the</w:t>
      </w:r>
      <w:r w:rsidR="00E45B56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 xml:space="preserve">International </w:t>
      </w:r>
      <w:proofErr w:type="spellStart"/>
      <w:r>
        <w:rPr>
          <w:rFonts w:ascii="TimesTenLTStd-Roman" w:hAnsi="TimesTenLTStd-Roman" w:cs="TimesTenLTStd-Roman"/>
        </w:rPr>
        <w:t>Labour</w:t>
      </w:r>
      <w:proofErr w:type="spellEnd"/>
      <w:r>
        <w:rPr>
          <w:rFonts w:ascii="TimesTenLTStd-Roman" w:hAnsi="TimesTenLTStd-Roman" w:cs="TimesTenLTStd-Roman"/>
        </w:rPr>
        <w:t xml:space="preserve"> Office, and having met in its 108</w:t>
      </w:r>
      <w:r w:rsidRPr="00A978BF">
        <w:rPr>
          <w:rFonts w:ascii="TimesTenLTStd-Roman" w:hAnsi="TimesTenLTStd-Roman" w:cs="TimesTenLTStd-Roman"/>
          <w:vertAlign w:val="superscript"/>
        </w:rPr>
        <w:t>th</w:t>
      </w:r>
      <w:r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(Centenary) Session on 10 June 2019, and</w:t>
      </w:r>
    </w:p>
    <w:p w14:paraId="529D76B5" w14:textId="77777777" w:rsidR="00E45B56" w:rsidRDefault="00E45B56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</w:p>
    <w:p w14:paraId="42D947DC" w14:textId="7DDFD019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Having adopted the Violence and Harassment Convention, 2019, and</w:t>
      </w:r>
    </w:p>
    <w:p w14:paraId="0E3F40D4" w14:textId="77777777" w:rsidR="00E45B56" w:rsidRDefault="00E45B56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</w:p>
    <w:p w14:paraId="0BE75449" w14:textId="5E8FDAF1" w:rsidR="00A978BF" w:rsidRDefault="00A978BF" w:rsidP="00E45B56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Having decided upon the adoption of certain proposals concerning</w:t>
      </w:r>
      <w:r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violence and harassment in the world</w:t>
      </w:r>
      <w:r w:rsidR="008927E0">
        <w:rPr>
          <w:rFonts w:ascii="TimesTenLTStd-Roman" w:hAnsi="TimesTenLTStd-Roman" w:cs="TimesTenLTStd-Roman"/>
        </w:rPr>
        <w:br/>
      </w:r>
      <w:r>
        <w:rPr>
          <w:rFonts w:ascii="TimesTenLTStd-Roman" w:hAnsi="TimesTenLTStd-Roman" w:cs="TimesTenLTStd-Roman"/>
        </w:rPr>
        <w:t xml:space="preserve"> </w:t>
      </w:r>
      <w:r w:rsidR="008927E0">
        <w:rPr>
          <w:rFonts w:ascii="TimesTenLTStd-Roman" w:hAnsi="TimesTenLTStd-Roman" w:cs="TimesTenLTStd-Roman"/>
        </w:rPr>
        <w:t xml:space="preserve">   </w:t>
      </w:r>
      <w:r>
        <w:rPr>
          <w:rFonts w:ascii="TimesTenLTStd-Roman" w:hAnsi="TimesTenLTStd-Roman" w:cs="TimesTenLTStd-Roman"/>
        </w:rPr>
        <w:t>of work, which is the fifth</w:t>
      </w:r>
      <w:r w:rsidR="00E45B56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item on the agenda of the session, and</w:t>
      </w:r>
      <w:r w:rsidR="008927E0">
        <w:rPr>
          <w:rFonts w:ascii="TimesTenLTStd-Roman" w:hAnsi="TimesTenLTStd-Roman" w:cs="TimesTenLTStd-Roman"/>
        </w:rPr>
        <w:br/>
      </w:r>
    </w:p>
    <w:p w14:paraId="71F0627D" w14:textId="05EF3EF8" w:rsidR="00A978BF" w:rsidRDefault="00A978BF" w:rsidP="008927E0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Having determined that these proposals shall take the form of a</w:t>
      </w:r>
      <w:r w:rsidR="008927E0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Recommendation supplementing the</w:t>
      </w:r>
      <w:r w:rsidR="008927E0">
        <w:rPr>
          <w:rFonts w:ascii="TimesTenLTStd-Roman" w:hAnsi="TimesTenLTStd-Roman" w:cs="TimesTenLTStd-Roman"/>
        </w:rPr>
        <w:br/>
        <w:t xml:space="preserve">   </w:t>
      </w:r>
      <w:r>
        <w:rPr>
          <w:rFonts w:ascii="TimesTenLTStd-Roman" w:hAnsi="TimesTenLTStd-Roman" w:cs="TimesTenLTStd-Roman"/>
        </w:rPr>
        <w:t xml:space="preserve"> Violence and Harassment</w:t>
      </w:r>
      <w:r w:rsidR="00E45B56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Convention, 2019,</w:t>
      </w:r>
      <w:r w:rsidR="00E45B56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 xml:space="preserve">adopts this twenty-first day of June of the year two </w:t>
      </w:r>
      <w:r w:rsidR="008927E0">
        <w:rPr>
          <w:rFonts w:ascii="TimesTenLTStd-Roman" w:hAnsi="TimesTenLTStd-Roman" w:cs="TimesTenLTStd-Roman"/>
        </w:rPr>
        <w:br/>
        <w:t xml:space="preserve">    </w:t>
      </w:r>
      <w:r>
        <w:rPr>
          <w:rFonts w:ascii="TimesTenLTStd-Roman" w:hAnsi="TimesTenLTStd-Roman" w:cs="TimesTenLTStd-Roman"/>
        </w:rPr>
        <w:t>thousand and nineteen</w:t>
      </w:r>
      <w:r w:rsidR="00E45B56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the following Recommendation, which may be cited as the Violence and</w:t>
      </w:r>
      <w:r w:rsidR="00E45B56">
        <w:rPr>
          <w:rFonts w:ascii="TimesTenLTStd-Roman" w:hAnsi="TimesTenLTStd-Roman" w:cs="TimesTenLTStd-Roman"/>
        </w:rPr>
        <w:t xml:space="preserve"> </w:t>
      </w:r>
      <w:r w:rsidR="008927E0">
        <w:rPr>
          <w:rFonts w:ascii="TimesTenLTStd-Roman" w:hAnsi="TimesTenLTStd-Roman" w:cs="TimesTenLTStd-Roman"/>
        </w:rPr>
        <w:br/>
        <w:t xml:space="preserve">    </w:t>
      </w:r>
      <w:r>
        <w:rPr>
          <w:rFonts w:ascii="TimesTenLTStd-Roman" w:hAnsi="TimesTenLTStd-Roman" w:cs="TimesTenLTStd-Roman"/>
        </w:rPr>
        <w:t>Harassment Recommendation, 2019:</w:t>
      </w:r>
    </w:p>
    <w:p w14:paraId="464F58A1" w14:textId="77777777" w:rsidR="008927E0" w:rsidRDefault="008927E0" w:rsidP="008927E0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78FEB5A8" w14:textId="6D07FC97" w:rsidR="00A978BF" w:rsidRDefault="00A978BF" w:rsidP="008927E0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1. The provisions of this Recommendation supplement those of the</w:t>
      </w:r>
      <w:r w:rsidR="00E45B56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 xml:space="preserve">Violence and Harassment </w:t>
      </w:r>
      <w:r w:rsidR="008927E0">
        <w:rPr>
          <w:rFonts w:ascii="TimesTenLTStd-Roman" w:hAnsi="TimesTenLTStd-Roman" w:cs="TimesTenLTStd-Roman"/>
        </w:rPr>
        <w:br/>
      </w:r>
      <w:r>
        <w:rPr>
          <w:rFonts w:ascii="TimesTenLTStd-Roman" w:hAnsi="TimesTenLTStd-Roman" w:cs="TimesTenLTStd-Roman"/>
        </w:rPr>
        <w:t>Convention, 2019 (hereafter referred to as “the</w:t>
      </w:r>
      <w:r w:rsidR="00E45B56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Convention”</w:t>
      </w:r>
      <w:proofErr w:type="gramStart"/>
      <w:r>
        <w:rPr>
          <w:rFonts w:ascii="TimesTenLTStd-Roman" w:hAnsi="TimesTenLTStd-Roman" w:cs="TimesTenLTStd-Roman"/>
        </w:rPr>
        <w:t>), and</w:t>
      </w:r>
      <w:proofErr w:type="gramEnd"/>
      <w:r>
        <w:rPr>
          <w:rFonts w:ascii="TimesTenLTStd-Roman" w:hAnsi="TimesTenLTStd-Roman" w:cs="TimesTenLTStd-Roman"/>
        </w:rPr>
        <w:t xml:space="preserve"> should be considered in conjunction with them.</w:t>
      </w:r>
    </w:p>
    <w:p w14:paraId="5E8BD774" w14:textId="77777777" w:rsidR="00A978BF" w:rsidRPr="00BC252A" w:rsidRDefault="00A978BF" w:rsidP="00BC252A">
      <w:pPr>
        <w:autoSpaceDE w:val="0"/>
        <w:autoSpaceDN w:val="0"/>
        <w:adjustRightInd w:val="0"/>
        <w:spacing w:after="0" w:line="240" w:lineRule="auto"/>
        <w:jc w:val="center"/>
        <w:rPr>
          <w:rFonts w:ascii="TimesTenLTStd-Roman" w:hAnsi="TimesTenLTStd-Roman" w:cs="TimesTenLTStd-Roman"/>
          <w:b/>
          <w:bCs/>
          <w:sz w:val="24"/>
          <w:szCs w:val="24"/>
        </w:rPr>
      </w:pPr>
      <w:r w:rsidRPr="00BC252A">
        <w:rPr>
          <w:rFonts w:ascii="TimesTenLTStd-Roman" w:hAnsi="TimesTenLTStd-Roman" w:cs="TimesTenLTStd-Roman"/>
          <w:b/>
          <w:bCs/>
          <w:sz w:val="24"/>
          <w:szCs w:val="24"/>
        </w:rPr>
        <w:t>I. Core principles</w:t>
      </w:r>
    </w:p>
    <w:p w14:paraId="5DD4F65C" w14:textId="539F096C" w:rsidR="00A978BF" w:rsidRDefault="00A978BF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2. In adopting and implementing the inclusive, integrated and gender</w:t>
      </w:r>
      <w:r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responsive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approach referred to in Article 4, paragraph 2, of the Convention,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Members should address violence and harassment in the world of work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in labor and employment, occupational safety and health, equality and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non-discrimination law, and in criminal law, where appropriate.</w:t>
      </w:r>
    </w:p>
    <w:p w14:paraId="17394F6D" w14:textId="77777777" w:rsidR="00BC252A" w:rsidRDefault="00BC252A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30951746" w14:textId="7BF33137" w:rsidR="00A978BF" w:rsidRDefault="00A978BF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3. Members should ensure that all workers and employers, including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those in sectors, occupations and work arrangements that are more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exposed to violence and harassment, fully enjoy freedom of association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and the effective recognition of the right to collective bargaining consistent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with the Freedom of Association and Protection of the Right to Organi</w:t>
      </w:r>
      <w:r>
        <w:rPr>
          <w:rFonts w:ascii="TimesTenLTStd-Roman" w:hAnsi="TimesTenLTStd-Roman" w:cs="TimesTenLTStd-Roman"/>
        </w:rPr>
        <w:t>z</w:t>
      </w:r>
      <w:r>
        <w:rPr>
          <w:rFonts w:ascii="TimesTenLTStd-Roman" w:hAnsi="TimesTenLTStd-Roman" w:cs="TimesTenLTStd-Roman"/>
        </w:rPr>
        <w:t>e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Convention, 1948 (No. 87), and the Right to Organi</w:t>
      </w:r>
      <w:r>
        <w:rPr>
          <w:rFonts w:ascii="TimesTenLTStd-Roman" w:hAnsi="TimesTenLTStd-Roman" w:cs="TimesTenLTStd-Roman"/>
        </w:rPr>
        <w:t>z</w:t>
      </w:r>
      <w:r>
        <w:rPr>
          <w:rFonts w:ascii="TimesTenLTStd-Roman" w:hAnsi="TimesTenLTStd-Roman" w:cs="TimesTenLTStd-Roman"/>
        </w:rPr>
        <w:t>e and Collective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Bargaining Convention, 1949 (No. 98).</w:t>
      </w:r>
    </w:p>
    <w:p w14:paraId="3BB3FAB3" w14:textId="77777777" w:rsidR="00BC252A" w:rsidRDefault="00BC252A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62AA944C" w14:textId="77777777" w:rsidR="00A978BF" w:rsidRDefault="00A978BF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4. Members should take appropriate measures to:</w:t>
      </w:r>
    </w:p>
    <w:p w14:paraId="226A4DD8" w14:textId="0544AB19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(a) promote the effective recognition of the right to collective bargaining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at all levels as a means of preventing and addressing violence and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harassment and, to the extent possible, mitigating the impact of</w:t>
      </w:r>
    </w:p>
    <w:p w14:paraId="4628ECAA" w14:textId="77777777" w:rsidR="00BC252A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domestic violence in the world of work; and</w:t>
      </w:r>
      <w:r w:rsidR="00BC252A">
        <w:rPr>
          <w:rFonts w:ascii="TimesTenLTStd-Roman" w:hAnsi="TimesTenLTStd-Roman" w:cs="TimesTenLTStd-Roman"/>
        </w:rPr>
        <w:t xml:space="preserve"> </w:t>
      </w:r>
    </w:p>
    <w:p w14:paraId="45A50AB0" w14:textId="7DB337FA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(b) support such collective bargaining through the collection and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dissemination of information on related trends and good practices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regarding the negotiation process and the content of collective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agreements.</w:t>
      </w:r>
    </w:p>
    <w:p w14:paraId="5F777A1D" w14:textId="77777777" w:rsidR="00BC252A" w:rsidRDefault="00BC252A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</w:p>
    <w:p w14:paraId="66917AD5" w14:textId="299E15C0" w:rsidR="00A978BF" w:rsidRDefault="00A978BF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lastRenderedPageBreak/>
        <w:t>5. Members should ensure that provisions on violence and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 xml:space="preserve">harassment in national laws, regulations and policies </w:t>
      </w:r>
      <w:proofErr w:type="gramStart"/>
      <w:r>
        <w:rPr>
          <w:rFonts w:ascii="TimesTenLTStd-Roman" w:hAnsi="TimesTenLTStd-Roman" w:cs="TimesTenLTStd-Roman"/>
        </w:rPr>
        <w:t>take into account</w:t>
      </w:r>
      <w:proofErr w:type="gramEnd"/>
      <w:r>
        <w:rPr>
          <w:rFonts w:ascii="TimesTenLTStd-Roman" w:hAnsi="TimesTenLTStd-Roman" w:cs="TimesTenLTStd-Roman"/>
        </w:rPr>
        <w:t xml:space="preserve"> the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equality and non-discrimination instruments of the International Labor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Organization, including the Equal Remuneration Convention (No. 100) and</w:t>
      </w:r>
    </w:p>
    <w:p w14:paraId="4BAE0F81" w14:textId="4A452738" w:rsidR="00A978BF" w:rsidRDefault="00A978BF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Recommendation (No. 90), 1951, and the Discrimination (Employment and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Occupation) Convention (No. 111) and Recommendation (No. 111), 1958,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and other relevant instruments.</w:t>
      </w:r>
    </w:p>
    <w:p w14:paraId="59FE5CE5" w14:textId="77777777" w:rsidR="00BC252A" w:rsidRDefault="00BC252A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6F95B568" w14:textId="0E3E96F5" w:rsidR="00A978BF" w:rsidRDefault="00A978BF" w:rsidP="00BC252A">
      <w:pPr>
        <w:autoSpaceDE w:val="0"/>
        <w:autoSpaceDN w:val="0"/>
        <w:adjustRightInd w:val="0"/>
        <w:spacing w:after="0" w:line="240" w:lineRule="auto"/>
        <w:jc w:val="center"/>
        <w:rPr>
          <w:rFonts w:ascii="TimesTenLTStd-Roman" w:hAnsi="TimesTenLTStd-Roman" w:cs="TimesTenLTStd-Roman"/>
          <w:b/>
          <w:bCs/>
          <w:sz w:val="24"/>
          <w:szCs w:val="24"/>
        </w:rPr>
      </w:pPr>
      <w:r w:rsidRPr="00BC252A">
        <w:rPr>
          <w:rFonts w:ascii="TimesTenLTStd-Roman" w:hAnsi="TimesTenLTStd-Roman" w:cs="TimesTenLTStd-Roman"/>
          <w:b/>
          <w:bCs/>
          <w:sz w:val="24"/>
          <w:szCs w:val="24"/>
        </w:rPr>
        <w:t>II. Protection and prevention</w:t>
      </w:r>
    </w:p>
    <w:p w14:paraId="1231FFB6" w14:textId="77777777" w:rsidR="00BC252A" w:rsidRPr="00BC252A" w:rsidRDefault="00BC252A" w:rsidP="00BC252A">
      <w:pPr>
        <w:autoSpaceDE w:val="0"/>
        <w:autoSpaceDN w:val="0"/>
        <w:adjustRightInd w:val="0"/>
        <w:spacing w:after="0" w:line="240" w:lineRule="auto"/>
        <w:jc w:val="center"/>
        <w:rPr>
          <w:rFonts w:ascii="TimesTenLTStd-Roman" w:hAnsi="TimesTenLTStd-Roman" w:cs="TimesTenLTStd-Roman"/>
          <w:b/>
          <w:bCs/>
          <w:sz w:val="24"/>
          <w:szCs w:val="24"/>
        </w:rPr>
      </w:pPr>
    </w:p>
    <w:p w14:paraId="104852D1" w14:textId="523ED67B" w:rsidR="00A978BF" w:rsidRDefault="00A978BF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6. Occupational safety and health provisions on violence and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 xml:space="preserve">harassment in national laws, regulations and policies should </w:t>
      </w:r>
      <w:proofErr w:type="gramStart"/>
      <w:r>
        <w:rPr>
          <w:rFonts w:ascii="TimesTenLTStd-Roman" w:hAnsi="TimesTenLTStd-Roman" w:cs="TimesTenLTStd-Roman"/>
        </w:rPr>
        <w:t>take into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account</w:t>
      </w:r>
      <w:proofErr w:type="gramEnd"/>
      <w:r>
        <w:rPr>
          <w:rFonts w:ascii="TimesTenLTStd-Roman" w:hAnsi="TimesTenLTStd-Roman" w:cs="TimesTenLTStd-Roman"/>
        </w:rPr>
        <w:t xml:space="preserve"> relevant occupational safety and health instruments of the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 xml:space="preserve">International </w:t>
      </w:r>
      <w:proofErr w:type="spellStart"/>
      <w:r>
        <w:rPr>
          <w:rFonts w:ascii="TimesTenLTStd-Roman" w:hAnsi="TimesTenLTStd-Roman" w:cs="TimesTenLTStd-Roman"/>
        </w:rPr>
        <w:t>Labour</w:t>
      </w:r>
      <w:proofErr w:type="spellEnd"/>
      <w:r>
        <w:rPr>
          <w:rFonts w:ascii="TimesTenLTStd-Roman" w:hAnsi="TimesTenLTStd-Roman" w:cs="TimesTenLTStd-Roman"/>
        </w:rPr>
        <w:t xml:space="preserve"> Organization, such as the Occupational Safety and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Health Convention, 1981 (No. 155), and the Promotional Framework for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Occupational Safety and Health Convention, 2006 (No. 187).</w:t>
      </w:r>
    </w:p>
    <w:p w14:paraId="4FB70DDD" w14:textId="77777777" w:rsidR="00BC252A" w:rsidRDefault="00BC252A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367DD014" w14:textId="738F1A77" w:rsidR="00A978BF" w:rsidRDefault="00A978BF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7. Members should, as appropriate, specify in laws and regulations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that workers and their representatives should take part in the design,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implementation and monitoring of the workplace policy referred to in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Article 9(a) of the Convention, and such policy should:</w:t>
      </w:r>
    </w:p>
    <w:p w14:paraId="13A4655C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(a) state that violence and harassment will not be tolerated;</w:t>
      </w:r>
    </w:p>
    <w:p w14:paraId="0BE8538B" w14:textId="51AB102E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(b) establish violence and harassment prevention programs with, if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appropriate, measurable objectives;</w:t>
      </w:r>
    </w:p>
    <w:p w14:paraId="6AD9B6FD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(c) specify the rights and responsibilities of the workers and the employer;</w:t>
      </w:r>
    </w:p>
    <w:p w14:paraId="3D4DEA4B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(d) contain information on complaint and investigation procedures;</w:t>
      </w:r>
    </w:p>
    <w:p w14:paraId="5892C55B" w14:textId="5CA292F1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(e) provide that all internal and external communications related to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incidents of violence and harassment will be duly considered, and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acted upon as appropriate;</w:t>
      </w:r>
    </w:p>
    <w:p w14:paraId="503DE882" w14:textId="34B9F48C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(f) specify the right to privacy of individuals and confidentiality, as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referred to in Article 10(c) of the Convention, while balancing the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right of workers to be made aware of all hazards; and</w:t>
      </w:r>
    </w:p>
    <w:p w14:paraId="12ADC00E" w14:textId="78C721EE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(g) include measures to protect complainants, victims, witnesses and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whistle-blowers against victimization or retaliation.</w:t>
      </w:r>
    </w:p>
    <w:p w14:paraId="0A6D9F0D" w14:textId="77777777" w:rsidR="00BC252A" w:rsidRDefault="00BC252A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</w:p>
    <w:p w14:paraId="644BE214" w14:textId="2A296CC8" w:rsidR="00A978BF" w:rsidRDefault="00A978BF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8. The workplace risk assessment referred to in Article 9(c) of the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 xml:space="preserve">Convention should </w:t>
      </w:r>
      <w:proofErr w:type="gramStart"/>
      <w:r>
        <w:rPr>
          <w:rFonts w:ascii="TimesTenLTStd-Roman" w:hAnsi="TimesTenLTStd-Roman" w:cs="TimesTenLTStd-Roman"/>
        </w:rPr>
        <w:t>take into account</w:t>
      </w:r>
      <w:proofErr w:type="gramEnd"/>
      <w:r>
        <w:rPr>
          <w:rFonts w:ascii="TimesTenLTStd-Roman" w:hAnsi="TimesTenLTStd-Roman" w:cs="TimesTenLTStd-Roman"/>
        </w:rPr>
        <w:t xml:space="preserve"> factors that increase the likelihood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of violence and harassment, including psychosocial hazards and risks.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Particular attention should be paid to the hazards and risks that:</w:t>
      </w:r>
    </w:p>
    <w:p w14:paraId="3131798C" w14:textId="13678600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(a) arise from working conditions and arrangements, work organization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and human resource management, as appropriate;</w:t>
      </w:r>
    </w:p>
    <w:p w14:paraId="65341672" w14:textId="7581771E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(b) involve third parties such as clients, customers, service providers, users,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patients and members of the public; and</w:t>
      </w:r>
    </w:p>
    <w:p w14:paraId="3B799DF1" w14:textId="2A5422C8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(c) arise from discrimination, abuse of power relations, and gender,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cultural and social norms that support violence and harassment.</w:t>
      </w:r>
    </w:p>
    <w:p w14:paraId="5C425CAC" w14:textId="418286BA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</w:rPr>
      </w:pPr>
    </w:p>
    <w:p w14:paraId="71A9C126" w14:textId="51B84472" w:rsidR="00A978BF" w:rsidRDefault="00A978BF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9. Members should adopt appropriate measures for sectors or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occupations and work arrangements in which exposure to violence and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harassment may be more likely, such as night work, work in isolation, health,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hospitality, social services, emergency services, domestic work, transport,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education or entertainment.</w:t>
      </w:r>
    </w:p>
    <w:p w14:paraId="2526A042" w14:textId="77777777" w:rsidR="00BC252A" w:rsidRDefault="00BC252A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758E8451" w14:textId="21899BD1" w:rsidR="00A978BF" w:rsidRDefault="00A978BF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10. Members should take legislative or other measures to protect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migrant workers, particularly women migrant workers, regardless of migrant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status, in origin, transit and destination countries as appropriate, from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violence and harassment in the world of work.</w:t>
      </w:r>
    </w:p>
    <w:p w14:paraId="372B6064" w14:textId="77777777" w:rsidR="00BC252A" w:rsidRDefault="00BC252A" w:rsidP="00BC252A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7A818621" w14:textId="3ED40E00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11. In facilitating the transition from the informal to the formal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economy, Members should provide resources and assistance for informal</w:t>
      </w:r>
      <w:r w:rsidR="00BC252A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economy workers and employers, and their associations, to prevent and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address violence and harassment in the informal economy.</w:t>
      </w:r>
    </w:p>
    <w:p w14:paraId="6829F322" w14:textId="77777777" w:rsidR="00D53A5F" w:rsidRDefault="00D53A5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6E0DE445" w14:textId="2FE52071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lastRenderedPageBreak/>
        <w:t>12. Members should ensure that measures to prevent violence and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harassment do not result in the restriction of the participation in specific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jobs, sectors or occupations, or their exclusion there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from, of women and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the groups referred to in Article 6 of the Convention.</w:t>
      </w:r>
    </w:p>
    <w:p w14:paraId="70CAD1F2" w14:textId="77777777" w:rsidR="00D53A5F" w:rsidRDefault="00D53A5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</w:p>
    <w:p w14:paraId="68166AAA" w14:textId="14D33120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13. The reference to vulnerable groups and groups in situations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of vulnerability in Article 6 of the Convention should be interpreted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in accordance with applicable international labor standards and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international instruments on human rights.</w:t>
      </w:r>
    </w:p>
    <w:p w14:paraId="05105FA9" w14:textId="77777777" w:rsidR="00D53A5F" w:rsidRDefault="00D53A5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3F06F9DD" w14:textId="6032915D" w:rsidR="00A978BF" w:rsidRDefault="00A978BF" w:rsidP="00D53A5F">
      <w:pPr>
        <w:autoSpaceDE w:val="0"/>
        <w:autoSpaceDN w:val="0"/>
        <w:adjustRightInd w:val="0"/>
        <w:spacing w:after="0" w:line="240" w:lineRule="auto"/>
        <w:jc w:val="center"/>
        <w:rPr>
          <w:rFonts w:ascii="TimesTenLTStd-Roman" w:hAnsi="TimesTenLTStd-Roman" w:cs="TimesTenLTStd-Roman"/>
          <w:b/>
          <w:bCs/>
          <w:sz w:val="24"/>
          <w:szCs w:val="24"/>
        </w:rPr>
      </w:pPr>
      <w:r w:rsidRPr="00D53A5F">
        <w:rPr>
          <w:rFonts w:ascii="TimesTenLTStd-Roman" w:hAnsi="TimesTenLTStd-Roman" w:cs="TimesTenLTStd-Roman"/>
          <w:b/>
          <w:bCs/>
          <w:sz w:val="24"/>
          <w:szCs w:val="24"/>
        </w:rPr>
        <w:t>III. Enforcement, remedies and assistance</w:t>
      </w:r>
    </w:p>
    <w:p w14:paraId="0EFF74C1" w14:textId="792ECD07" w:rsidR="00D53A5F" w:rsidRPr="00D53A5F" w:rsidRDefault="00D53A5F" w:rsidP="00D53A5F">
      <w:pPr>
        <w:autoSpaceDE w:val="0"/>
        <w:autoSpaceDN w:val="0"/>
        <w:adjustRightInd w:val="0"/>
        <w:spacing w:after="0" w:line="240" w:lineRule="auto"/>
        <w:jc w:val="center"/>
        <w:rPr>
          <w:rFonts w:ascii="TimesTenLTStd-Roman" w:hAnsi="TimesTenLTStd-Roman" w:cs="TimesTenLTStd-Roman"/>
          <w:b/>
          <w:bCs/>
          <w:sz w:val="24"/>
          <w:szCs w:val="24"/>
        </w:rPr>
      </w:pPr>
      <w:r>
        <w:rPr>
          <w:rFonts w:ascii="TimesTenLTStd-Roman" w:hAnsi="TimesTenLTStd-Roman" w:cs="TimesTenLTStd-Roman"/>
          <w:b/>
          <w:bCs/>
          <w:sz w:val="24"/>
          <w:szCs w:val="24"/>
        </w:rPr>
        <w:t xml:space="preserve"> </w:t>
      </w:r>
    </w:p>
    <w:p w14:paraId="352B6A16" w14:textId="2943B7A8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14. The remedies referred to in Article 10(b) of the Convention could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include:</w:t>
      </w:r>
    </w:p>
    <w:p w14:paraId="5D9191BA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(a) the right to resign with compensation;</w:t>
      </w:r>
    </w:p>
    <w:p w14:paraId="34906E34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(b) reinstatement;</w:t>
      </w:r>
    </w:p>
    <w:p w14:paraId="23E08E5E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(c) appropriate compensation for damages;</w:t>
      </w:r>
    </w:p>
    <w:p w14:paraId="2E63A7CC" w14:textId="05F86575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(d) orders requiring measures with immediate executory force to be taken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to ensure that certain conduct is stopped or that policies or practices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are changed; and</w:t>
      </w:r>
    </w:p>
    <w:p w14:paraId="40290E7B" w14:textId="2558EE1B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(e) legal fees and costs according to national law and practice.</w:t>
      </w:r>
    </w:p>
    <w:p w14:paraId="5FB348EA" w14:textId="77777777" w:rsidR="00D53A5F" w:rsidRDefault="00D53A5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</w:p>
    <w:p w14:paraId="0A821F71" w14:textId="0BCDB867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15. Victims of violence and harassment in the world of work should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have access to compensation in cases of psychosocial, physical or any other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 xml:space="preserve">injury or illness which results in incapacity to </w:t>
      </w:r>
      <w:r w:rsidR="00D53A5F">
        <w:rPr>
          <w:rFonts w:ascii="TimesTenLTStd-Roman" w:hAnsi="TimesTenLTStd-Roman" w:cs="TimesTenLTStd-Roman"/>
        </w:rPr>
        <w:t>w</w:t>
      </w:r>
      <w:r>
        <w:rPr>
          <w:rFonts w:ascii="TimesTenLTStd-Roman" w:hAnsi="TimesTenLTStd-Roman" w:cs="TimesTenLTStd-Roman"/>
        </w:rPr>
        <w:t>ork.</w:t>
      </w:r>
    </w:p>
    <w:p w14:paraId="6E27F1C0" w14:textId="77777777" w:rsidR="00D53A5F" w:rsidRDefault="00D53A5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4D02E0F5" w14:textId="4363A3CA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16. The complaint and dispute resolution mechanisms for gender-based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violence and harassment referred to in Article 10(e) of the Convention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should include measures such as:</w:t>
      </w:r>
    </w:p>
    <w:p w14:paraId="57E02BDC" w14:textId="5679F1D8" w:rsidR="00A978BF" w:rsidRPr="00D53A5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(a) courts with expertise in cases of gender-based violence and harassment;</w:t>
      </w:r>
    </w:p>
    <w:p w14:paraId="4DFF806C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(b) timely and efficient processing;</w:t>
      </w:r>
    </w:p>
    <w:p w14:paraId="5DEE7F7B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(c) legal advice and assistance for complainants and victims;</w:t>
      </w:r>
    </w:p>
    <w:p w14:paraId="324941CA" w14:textId="70D9A752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(d) guides and other information resources available and accessible in the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languages that are widely spoken in the country; and</w:t>
      </w:r>
    </w:p>
    <w:p w14:paraId="6CAD2CFA" w14:textId="0A4CC100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(e) shifting of the burden of proof, as appropriate, in proceedings other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than criminal proceedings.</w:t>
      </w:r>
    </w:p>
    <w:p w14:paraId="3D94C7EF" w14:textId="77777777" w:rsidR="00D53A5F" w:rsidRDefault="00D53A5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</w:p>
    <w:p w14:paraId="377D928D" w14:textId="0F53B03D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17. The support, services and remedies for victims of gender-based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violence and harassment referred to in Article 10(e) of the Convention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should include measures such as:</w:t>
      </w:r>
    </w:p>
    <w:p w14:paraId="676BEF2E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 xml:space="preserve">(a) support to help victims re-enter the </w:t>
      </w:r>
      <w:proofErr w:type="spellStart"/>
      <w:r>
        <w:rPr>
          <w:rFonts w:ascii="TimesTenLTStd-Roman" w:hAnsi="TimesTenLTStd-Roman" w:cs="TimesTenLTStd-Roman"/>
        </w:rPr>
        <w:t>labour</w:t>
      </w:r>
      <w:proofErr w:type="spellEnd"/>
      <w:r>
        <w:rPr>
          <w:rFonts w:ascii="TimesTenLTStd-Roman" w:hAnsi="TimesTenLTStd-Roman" w:cs="TimesTenLTStd-Roman"/>
        </w:rPr>
        <w:t xml:space="preserve"> market;</w:t>
      </w:r>
    </w:p>
    <w:p w14:paraId="18008E5E" w14:textId="50E2F28D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(b) counselling and information services, in an accessible manner as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appropriate;</w:t>
      </w:r>
    </w:p>
    <w:p w14:paraId="686259B4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(c) 24-hour hotlines;</w:t>
      </w:r>
    </w:p>
    <w:p w14:paraId="20183904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(d) emergency services;</w:t>
      </w:r>
    </w:p>
    <w:p w14:paraId="5C501423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(e) medical care and treatment and psychological support;</w:t>
      </w:r>
    </w:p>
    <w:p w14:paraId="072159B6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 xml:space="preserve">(f) crisis </w:t>
      </w:r>
      <w:proofErr w:type="spellStart"/>
      <w:r>
        <w:rPr>
          <w:rFonts w:ascii="TimesTenLTStd-Roman" w:hAnsi="TimesTenLTStd-Roman" w:cs="TimesTenLTStd-Roman"/>
        </w:rPr>
        <w:t>centres</w:t>
      </w:r>
      <w:proofErr w:type="spellEnd"/>
      <w:r>
        <w:rPr>
          <w:rFonts w:ascii="TimesTenLTStd-Roman" w:hAnsi="TimesTenLTStd-Roman" w:cs="TimesTenLTStd-Roman"/>
        </w:rPr>
        <w:t>, including shelters; and</w:t>
      </w:r>
    </w:p>
    <w:p w14:paraId="257B4A2D" w14:textId="2D7FEC2E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(g) specialized police units or specially trained officers to support victims.</w:t>
      </w:r>
    </w:p>
    <w:p w14:paraId="1F947C33" w14:textId="77777777" w:rsidR="00D53A5F" w:rsidRDefault="00D53A5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</w:p>
    <w:p w14:paraId="0BAE089C" w14:textId="07CD98EF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18. Appropriate measures to mitigate the impacts of domestic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violence in the world of work referred to in Article 10(f) of the Convention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could include:</w:t>
      </w:r>
    </w:p>
    <w:p w14:paraId="2E8CFE19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(a) leave for victims of domestic violence;</w:t>
      </w:r>
    </w:p>
    <w:p w14:paraId="0A2F55DF" w14:textId="7FEF1369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(b) flexible work arrangements and protection for victims of domestic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violence;</w:t>
      </w:r>
    </w:p>
    <w:p w14:paraId="4F8A81A4" w14:textId="1F91C5E6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(c) temporary protection against dismissal for victims of domestic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violence, as appropriate, except on grounds unrelated to domestic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violence and its consequences;</w:t>
      </w:r>
    </w:p>
    <w:p w14:paraId="0F9C5C2E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(d) the inclusion of domestic violence in workplace risk assessments;</w:t>
      </w:r>
    </w:p>
    <w:p w14:paraId="2E8101F9" w14:textId="624004FE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(e) a referral system to public mitigation measures for domestic violence,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where they exist; and</w:t>
      </w:r>
    </w:p>
    <w:p w14:paraId="263587E6" w14:textId="4D0C7C4F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(f) awareness-raising about the effects of domestic violence.</w:t>
      </w:r>
    </w:p>
    <w:p w14:paraId="7309BC16" w14:textId="77777777" w:rsidR="00D53A5F" w:rsidRDefault="00D53A5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</w:p>
    <w:p w14:paraId="7F668781" w14:textId="0E712CCB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lastRenderedPageBreak/>
        <w:t>19. Perpetrators of violence and harassment in the world of work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should be held accountable and provided counselling or other measures,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where appropriate, with a view to preventing the reoccurrence of violence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and harassment, and facilitating their reintegration into work, where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appropriate.</w:t>
      </w:r>
    </w:p>
    <w:p w14:paraId="26D01395" w14:textId="77777777" w:rsidR="00D53A5F" w:rsidRDefault="00D53A5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0C680264" w14:textId="46F53C12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 xml:space="preserve">20. </w:t>
      </w:r>
      <w:proofErr w:type="spellStart"/>
      <w:r>
        <w:rPr>
          <w:rFonts w:ascii="TimesTenLTStd-Roman" w:hAnsi="TimesTenLTStd-Roman" w:cs="TimesTenLTStd-Roman"/>
        </w:rPr>
        <w:t>Labour</w:t>
      </w:r>
      <w:proofErr w:type="spellEnd"/>
      <w:r>
        <w:rPr>
          <w:rFonts w:ascii="TimesTenLTStd-Roman" w:hAnsi="TimesTenLTStd-Roman" w:cs="TimesTenLTStd-Roman"/>
        </w:rPr>
        <w:t xml:space="preserve"> inspectors and officials of other competent authorities,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as appropriate, should undergo gender-responsive training with a view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to identifying and addressing violence and harassment in the world of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work, including psychosocial hazards and risks, gender-based violence and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 xml:space="preserve">harassment, and discrimination against </w:t>
      </w:r>
      <w:proofErr w:type="gramStart"/>
      <w:r>
        <w:rPr>
          <w:rFonts w:ascii="TimesTenLTStd-Roman" w:hAnsi="TimesTenLTStd-Roman" w:cs="TimesTenLTStd-Roman"/>
        </w:rPr>
        <w:t>particular groups</w:t>
      </w:r>
      <w:proofErr w:type="gramEnd"/>
      <w:r>
        <w:rPr>
          <w:rFonts w:ascii="TimesTenLTStd-Roman" w:hAnsi="TimesTenLTStd-Roman" w:cs="TimesTenLTStd-Roman"/>
        </w:rPr>
        <w:t xml:space="preserve"> of workers.</w:t>
      </w:r>
    </w:p>
    <w:p w14:paraId="490E46B2" w14:textId="77777777" w:rsidR="00D53A5F" w:rsidRDefault="00D53A5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642C1288" w14:textId="4C6FF296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 xml:space="preserve">21. The mandate of national bodies responsible for </w:t>
      </w:r>
      <w:proofErr w:type="spellStart"/>
      <w:r>
        <w:rPr>
          <w:rFonts w:ascii="TimesTenLTStd-Roman" w:hAnsi="TimesTenLTStd-Roman" w:cs="TimesTenLTStd-Roman"/>
        </w:rPr>
        <w:t>labour</w:t>
      </w:r>
      <w:proofErr w:type="spellEnd"/>
      <w:r>
        <w:rPr>
          <w:rFonts w:ascii="TimesTenLTStd-Roman" w:hAnsi="TimesTenLTStd-Roman" w:cs="TimesTenLTStd-Roman"/>
        </w:rPr>
        <w:t xml:space="preserve"> inspection,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occupational safety and health, and equality and non-discrimination,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including gender equality, should cover violence and harassment in the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world of work.</w:t>
      </w:r>
    </w:p>
    <w:p w14:paraId="7DBA3902" w14:textId="77777777" w:rsidR="00D53A5F" w:rsidRDefault="00D53A5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1B74B8D2" w14:textId="68A1AA1D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22. Members should make efforts to collect and publish statistics on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violence and harassment in the world of work disaggregated by sex, form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of violence and harassment, and sector of economic activity, including with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respect to the groups referred to in Article 6 of the Convention.</w:t>
      </w:r>
    </w:p>
    <w:p w14:paraId="1D07F74D" w14:textId="77777777" w:rsidR="00D53A5F" w:rsidRDefault="00D53A5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</w:p>
    <w:p w14:paraId="67E30A5B" w14:textId="77777777" w:rsidR="00A978BF" w:rsidRPr="00D53A5F" w:rsidRDefault="00A978BF" w:rsidP="00D53A5F">
      <w:pPr>
        <w:autoSpaceDE w:val="0"/>
        <w:autoSpaceDN w:val="0"/>
        <w:adjustRightInd w:val="0"/>
        <w:spacing w:after="0" w:line="240" w:lineRule="auto"/>
        <w:jc w:val="center"/>
        <w:rPr>
          <w:rFonts w:ascii="TimesTenLTStd-Roman" w:hAnsi="TimesTenLTStd-Roman" w:cs="TimesTenLTStd-Roman"/>
          <w:b/>
          <w:bCs/>
          <w:sz w:val="24"/>
          <w:szCs w:val="24"/>
        </w:rPr>
      </w:pPr>
      <w:r w:rsidRPr="00D53A5F">
        <w:rPr>
          <w:rFonts w:ascii="TimesTenLTStd-Roman" w:hAnsi="TimesTenLTStd-Roman" w:cs="TimesTenLTStd-Roman"/>
          <w:b/>
          <w:bCs/>
          <w:sz w:val="24"/>
          <w:szCs w:val="24"/>
        </w:rPr>
        <w:t>IV. Guidance, training and awareness-raising</w:t>
      </w:r>
    </w:p>
    <w:p w14:paraId="1603EEBC" w14:textId="77777777" w:rsidR="00D53A5F" w:rsidRDefault="00D53A5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</w:p>
    <w:p w14:paraId="0C4A9C25" w14:textId="4E9E1F6F" w:rsidR="00A978BF" w:rsidRDefault="00A978BF" w:rsidP="00D53A5F">
      <w:pPr>
        <w:autoSpaceDE w:val="0"/>
        <w:autoSpaceDN w:val="0"/>
        <w:adjustRightInd w:val="0"/>
        <w:spacing w:after="0" w:line="240" w:lineRule="auto"/>
        <w:ind w:left="720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23. Members should fund, develop, implement and disseminate, as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appropriate:</w:t>
      </w:r>
    </w:p>
    <w:p w14:paraId="3803B3FB" w14:textId="15B754E0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(a) programs aimed at addressing factors that increase the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likelihood of violence and harassment in the world of work,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including discrimination, the abuse of power relations, and gender,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cultural and social norms that support violence and harassment;</w:t>
      </w:r>
    </w:p>
    <w:p w14:paraId="14743F1C" w14:textId="20BD472A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(b) gender-responsive guidelines and training programs to assist judges,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labor inspectors, police officers, prosecutors and other public officials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in fulfilling their mandate regarding violence and harassment in the</w:t>
      </w:r>
    </w:p>
    <w:p w14:paraId="0B97C118" w14:textId="22228924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world of work, as well as to assist public and private employers and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workers and their organizations in preventing and addressing violence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and harassment in the world of work;</w:t>
      </w:r>
    </w:p>
    <w:p w14:paraId="4884B578" w14:textId="2D181C9C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(c) model codes of practice and risk assessment tools on violence and</w:t>
      </w:r>
      <w:r w:rsidR="00D53A5F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harassment in the world of work, either general or sector-specific,</w:t>
      </w:r>
      <w:r w:rsidR="00D53A5F">
        <w:rPr>
          <w:rFonts w:ascii="TimesTenLTStd-Roman" w:hAnsi="TimesTenLTStd-Roman" w:cs="TimesTenLTStd-Roman"/>
        </w:rPr>
        <w:t xml:space="preserve"> </w:t>
      </w:r>
      <w:proofErr w:type="gramStart"/>
      <w:r>
        <w:rPr>
          <w:rFonts w:ascii="TimesTenLTStd-Roman" w:hAnsi="TimesTenLTStd-Roman" w:cs="TimesTenLTStd-Roman"/>
        </w:rPr>
        <w:t>taking into account</w:t>
      </w:r>
      <w:proofErr w:type="gramEnd"/>
      <w:r>
        <w:rPr>
          <w:rFonts w:ascii="TimesTenLTStd-Roman" w:hAnsi="TimesTenLTStd-Roman" w:cs="TimesTenLTStd-Roman"/>
        </w:rPr>
        <w:t xml:space="preserve"> the specific situations of workers and other persons</w:t>
      </w:r>
    </w:p>
    <w:p w14:paraId="549DA757" w14:textId="77777777" w:rsidR="005016E9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belonging to the groups referred to in Article 6 of the Convention;</w:t>
      </w:r>
      <w:r w:rsidR="00D53A5F">
        <w:rPr>
          <w:rFonts w:ascii="TimesTenLTStd-Roman" w:hAnsi="TimesTenLTStd-Roman" w:cs="TimesTenLTStd-Roman"/>
        </w:rPr>
        <w:t xml:space="preserve"> </w:t>
      </w:r>
    </w:p>
    <w:p w14:paraId="3ABF730E" w14:textId="09343C0B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(d) public awareness-raising campaigns in the various languages of</w:t>
      </w:r>
      <w:r w:rsidR="005016E9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the country, including those of the migrant workers residing in the</w:t>
      </w:r>
      <w:r w:rsidR="005016E9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country, that convey the unacceptability of violence and</w:t>
      </w:r>
      <w:r w:rsidR="005016E9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harassment, in particular gender-based violence and harassment,</w:t>
      </w:r>
      <w:r w:rsidR="005016E9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address discriminatory attitudes and prevent stigmatization of</w:t>
      </w:r>
      <w:r w:rsidR="005016E9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victims, complainants, witnesses and whistle-blowers;</w:t>
      </w:r>
    </w:p>
    <w:p w14:paraId="7A84B8D3" w14:textId="16FD47E3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(e) gender-responsive curricula and instructional materials on violence</w:t>
      </w:r>
      <w:r w:rsidR="005016E9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and harassment, including gender-based violence and harassment, at</w:t>
      </w:r>
      <w:r w:rsidR="005016E9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all levels of education and vocational training, in line with national</w:t>
      </w:r>
    </w:p>
    <w:p w14:paraId="50B376B4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law and circumstances;</w:t>
      </w:r>
    </w:p>
    <w:p w14:paraId="40B86F5D" w14:textId="3C655006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(f) materials for journalists and other media personnel on gender-based</w:t>
      </w:r>
      <w:r w:rsidR="005016E9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violence and harassment, including its underlying causes and risk</w:t>
      </w:r>
      <w:r w:rsidR="005016E9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factors, with due respect for their independence and freedom of</w:t>
      </w:r>
    </w:p>
    <w:p w14:paraId="7E9515F4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expression; and</w:t>
      </w:r>
    </w:p>
    <w:p w14:paraId="73EF564D" w14:textId="1CAC20F1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(g) public campaigns aimed at fostering safe, healthy and harmonious</w:t>
      </w:r>
      <w:r w:rsidR="005016E9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workplaces free from violence and harassment.</w:t>
      </w:r>
    </w:p>
    <w:p w14:paraId="12787A2C" w14:textId="77777777" w:rsidR="005016E9" w:rsidRDefault="005016E9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</w:p>
    <w:p w14:paraId="46DB93B1" w14:textId="13690BDA" w:rsidR="00A978BF" w:rsidRDefault="005016E9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 xml:space="preserve">          </w:t>
      </w:r>
      <w:r w:rsidR="00A978BF">
        <w:rPr>
          <w:rFonts w:ascii="TimesTenLTStd-Roman" w:hAnsi="TimesTenLTStd-Roman" w:cs="TimesTenLTStd-Roman"/>
        </w:rPr>
        <w:t>The foregoing is the authentic text of the Recommendation duly</w:t>
      </w:r>
      <w:r>
        <w:rPr>
          <w:rFonts w:ascii="TimesTenLTStd-Roman" w:hAnsi="TimesTenLTStd-Roman" w:cs="TimesTenLTStd-Roman"/>
        </w:rPr>
        <w:t xml:space="preserve"> </w:t>
      </w:r>
      <w:r w:rsidR="00A978BF">
        <w:rPr>
          <w:rFonts w:ascii="TimesTenLTStd-Roman" w:hAnsi="TimesTenLTStd-Roman" w:cs="TimesTenLTStd-Roman"/>
        </w:rPr>
        <w:t>adopted by the General Conference of the International Labor</w:t>
      </w:r>
      <w:r>
        <w:rPr>
          <w:rFonts w:ascii="TimesTenLTStd-Roman" w:hAnsi="TimesTenLTStd-Roman" w:cs="TimesTenLTStd-Roman"/>
        </w:rPr>
        <w:t xml:space="preserve"> </w:t>
      </w:r>
      <w:r w:rsidR="00A978BF">
        <w:rPr>
          <w:rFonts w:ascii="TimesTenLTStd-Roman" w:hAnsi="TimesTenLTStd-Roman" w:cs="TimesTenLTStd-Roman"/>
        </w:rPr>
        <w:t>Organization during its One hundred and eighth Session which was held</w:t>
      </w:r>
    </w:p>
    <w:p w14:paraId="70BDD2C0" w14:textId="3FF864CA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at Geneva and declared closed the twenty-first day of June 2019.</w:t>
      </w:r>
    </w:p>
    <w:p w14:paraId="373F74DF" w14:textId="77777777" w:rsidR="005016E9" w:rsidRDefault="005016E9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</w:p>
    <w:p w14:paraId="1F59AE9B" w14:textId="789FC1B5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Roman" w:hAnsi="TimesTenLTStd-Roman" w:cs="TimesTenLTStd-Roman"/>
        </w:rPr>
      </w:pPr>
      <w:r>
        <w:rPr>
          <w:rFonts w:ascii="TimesTenLTStd-Roman" w:hAnsi="TimesTenLTStd-Roman" w:cs="TimesTenLTStd-Roman"/>
        </w:rPr>
        <w:t>IN FAITH WHEREOF we have appended our signatures this</w:t>
      </w:r>
      <w:r w:rsidR="0008278B">
        <w:rPr>
          <w:rFonts w:ascii="TimesTenLTStd-Roman" w:hAnsi="TimesTenLTStd-Roman" w:cs="TimesTenLTStd-Roman"/>
        </w:rPr>
        <w:t xml:space="preserve"> </w:t>
      </w:r>
      <w:r>
        <w:rPr>
          <w:rFonts w:ascii="TimesTenLTStd-Roman" w:hAnsi="TimesTenLTStd-Roman" w:cs="TimesTenLTStd-Roman"/>
        </w:rPr>
        <w:t>day of June 2019:</w:t>
      </w:r>
    </w:p>
    <w:p w14:paraId="0FA13E8F" w14:textId="77777777" w:rsid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Italic" w:hAnsi="TimesTenLTStd-Italic" w:cs="TimesTenLTStd-Italic"/>
          <w:i/>
          <w:iCs/>
        </w:rPr>
      </w:pPr>
      <w:r>
        <w:rPr>
          <w:rFonts w:ascii="TimesTenLTStd-Italic" w:hAnsi="TimesTenLTStd-Italic" w:cs="TimesTenLTStd-Italic"/>
          <w:i/>
          <w:iCs/>
        </w:rPr>
        <w:t>The President of the Conference,</w:t>
      </w:r>
    </w:p>
    <w:p w14:paraId="0A62382A" w14:textId="4DF654F2" w:rsidR="00F723E1" w:rsidRPr="00A978BF" w:rsidRDefault="00A978BF" w:rsidP="00A978BF">
      <w:pPr>
        <w:autoSpaceDE w:val="0"/>
        <w:autoSpaceDN w:val="0"/>
        <w:adjustRightInd w:val="0"/>
        <w:spacing w:after="0" w:line="240" w:lineRule="auto"/>
        <w:rPr>
          <w:rFonts w:ascii="TimesTenLTStd-Italic" w:hAnsi="TimesTenLTStd-Italic" w:cs="TimesTenLTStd-Italic"/>
          <w:i/>
          <w:iCs/>
        </w:rPr>
      </w:pPr>
      <w:r>
        <w:rPr>
          <w:rFonts w:ascii="TimesTenLTStd-Italic" w:hAnsi="TimesTenLTStd-Italic" w:cs="TimesTenLTStd-Italic"/>
          <w:i/>
          <w:iCs/>
        </w:rPr>
        <w:t xml:space="preserve">The Director-General of the International </w:t>
      </w:r>
      <w:proofErr w:type="spellStart"/>
      <w:r>
        <w:rPr>
          <w:rFonts w:ascii="TimesTenLTStd-Italic" w:hAnsi="TimesTenLTStd-Italic" w:cs="TimesTenLTStd-Italic"/>
          <w:i/>
          <w:iCs/>
        </w:rPr>
        <w:t>Labour</w:t>
      </w:r>
      <w:proofErr w:type="spellEnd"/>
      <w:r>
        <w:rPr>
          <w:rFonts w:ascii="TimesTenLTStd-Italic" w:hAnsi="TimesTenLTStd-Italic" w:cs="TimesTenLTStd-Italic"/>
          <w:i/>
          <w:iCs/>
        </w:rPr>
        <w:t xml:space="preserve"> Office,</w:t>
      </w:r>
    </w:p>
    <w:sectPr w:rsidR="00F723E1" w:rsidRPr="00A9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TenLTSt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LTSt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BF"/>
    <w:rsid w:val="0008278B"/>
    <w:rsid w:val="00293C7D"/>
    <w:rsid w:val="005016E9"/>
    <w:rsid w:val="008927E0"/>
    <w:rsid w:val="00A978BF"/>
    <w:rsid w:val="00BC252A"/>
    <w:rsid w:val="00D27FEB"/>
    <w:rsid w:val="00D47BE7"/>
    <w:rsid w:val="00D53A5F"/>
    <w:rsid w:val="00E45B56"/>
    <w:rsid w:val="00EC3255"/>
    <w:rsid w:val="00F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1F00"/>
  <w15:chartTrackingRefBased/>
  <w15:docId w15:val="{5A9CD92A-1897-4E40-BD96-6D84E0F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Bandes</dc:creator>
  <cp:keywords/>
  <dc:description/>
  <cp:lastModifiedBy>Marcia Bandes</cp:lastModifiedBy>
  <cp:revision>5</cp:revision>
  <dcterms:created xsi:type="dcterms:W3CDTF">2019-08-16T01:28:00Z</dcterms:created>
  <dcterms:modified xsi:type="dcterms:W3CDTF">2019-08-16T02:33:00Z</dcterms:modified>
</cp:coreProperties>
</file>